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FE43" w14:textId="77777777" w:rsidR="00F35724" w:rsidRPr="00F35724" w:rsidRDefault="00F35724" w:rsidP="00F35724">
      <w:pPr>
        <w:pStyle w:val="Heading1"/>
        <w:rPr>
          <w:rFonts w:ascii="Cambria" w:hAnsi="Cambria"/>
        </w:rPr>
      </w:pPr>
      <w:r w:rsidRPr="00F35724">
        <w:rPr>
          <w:rFonts w:ascii="Cambria" w:hAnsi="Cambria"/>
        </w:rPr>
        <w:t>CITATIONS</w:t>
      </w:r>
    </w:p>
    <w:p w14:paraId="75E01A84" w14:textId="77777777" w:rsidR="00F35724" w:rsidRPr="00B5592D" w:rsidRDefault="00F35724" w:rsidP="00F35724">
      <w:pPr>
        <w:rPr>
          <w:sz w:val="22"/>
          <w:szCs w:val="22"/>
        </w:rPr>
      </w:pPr>
    </w:p>
    <w:p w14:paraId="2AC89E23"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2022 TIGER/Line Shapefiles (machine-readable data files) / prepared by the U.S. Census Bureau, 2022</w:t>
      </w:r>
    </w:p>
    <w:p w14:paraId="1006626F"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6D677B7B" w14:textId="555098E5"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“B01001 SEX BY AGE.” 2022 American Community Survey 5-Year Estimates. U.S. Census Bureau, American Community Survey Office. Web. 07 December 2023. &lt;ftp.census.gov&gt;.</w:t>
      </w:r>
    </w:p>
    <w:p w14:paraId="0D4CE1F3"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35F90490" w14:textId="146F4F96"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“B01002 MEDIAN AGE BY SEX.” 2022 American Community Survey 5-Year Estimates. U.S. Census Bureau, American Community Survey Office. Web. 07 December 2023. &lt;ftp.census.gov&gt;.</w:t>
      </w:r>
    </w:p>
    <w:p w14:paraId="57562078"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2D30CAED" w14:textId="5984D116"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“B03002 HISPANIC OR LATINO ORIGIN BY RACE.” 2022 American Community Survey 5-Year Estimates. U.S. Census Bureau, American Community Survey Office. Web. 07 December 2023. &lt;ftp.census.gov&gt;.</w:t>
      </w:r>
    </w:p>
    <w:p w14:paraId="104ADF37"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43E5ABEE" w14:textId="1E286F84"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“B11001 HOUSEHOLD TYPE (INCLUDING LIVING ALONE).” 2022 American Community Survey 5-Year Estimates. U.S. Census Bureau, American Community Survey Office. Web. 07 December 2023. &lt;ftp.census.gov&gt;.</w:t>
      </w:r>
    </w:p>
    <w:p w14:paraId="02A67EC1"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5D01AE63" w14:textId="236206AA"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“B11003 FAMILY TYPE BY PRESENCE AND AGE OF OWN CHILDREN UNDER 18 YEARS.” 2022 American Community Survey 5-Year Estimates. U.S. Census Bureau, American Community Survey Office. Web. 07 December 2023. &lt;ftp.census.gov&gt;.</w:t>
      </w:r>
    </w:p>
    <w:p w14:paraId="27F18B29"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248BFF82" w14:textId="4859612B"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“B15003 EDUCATIONAL ATTAINMENT FOR THE POPULATION 25 YEARS AND OVER.” 2022 American Community Survey 5-Year Estimates. U.S. Census Bureau, American Community Survey Office. Web. 07 December 2023. &lt;ftp.census.gov&gt;.</w:t>
      </w:r>
    </w:p>
    <w:p w14:paraId="279B2BE3"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29D5D527" w14:textId="78747AE2"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“B17010 POVERTY STATUS IN THE PAST 12 MONTHS OF FAMILIES BY FAMILY TYPE BY PRESENCE OF RELATED CHILDREN UNDER 18 YEARS BY AGE OF RELATED CHILDREN.” 2022 American Community Survey 5-Year Estimates. U.S. Census Bureau, American Community Survey Office. Web. 07 December 2023. &lt;ftp.census.gov&gt;.</w:t>
      </w:r>
    </w:p>
    <w:p w14:paraId="274EA892"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0B5EF21E" w14:textId="06EF59A4"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“B19001 HOUSEHOLD INCOME IN THE PAST 12 MONTHS (IN 2022 INFLATION-ADJUSTED DOLLARS).” 2022 American Community Survey 5-Year Estimates. U.S. Census Bureau, American Community Survey Office. Web. 07 December 2023. &lt;ftp.census.gov&gt;.</w:t>
      </w:r>
    </w:p>
    <w:p w14:paraId="60247D9B"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547B1E2C" w14:textId="0FA5A12A"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“B19013 MEDIAN HOUSEHOLD INCOME IN THE PAST 12 MONTHS (IN 2022 INFLATION-ADJUSTED DOLLARS).” 2022 American Community Survey 5-Year Estimates. U.S. Census Bureau, American Community Survey Office. Web. 07 December 2023. &lt;ftp.census.gov&gt;.</w:t>
      </w:r>
    </w:p>
    <w:p w14:paraId="03F7D6C1"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12415D72" w14:textId="72F389BC"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“B23025 EMPLOYMENT STATUS FOR THE POPULATION 16 YEARS AND OVER.” 2022 American Community Survey 5-Year Estimates. U.S. Census Bureau, American Community Survey Office. Web. 07 December 2023. &lt;ftp.census.gov&gt;.</w:t>
      </w:r>
    </w:p>
    <w:p w14:paraId="6720BF25"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70AAA19F" w14:textId="55F65B7D"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lastRenderedPageBreak/>
        <w:t>United States Census Bureau. “B25001 HOUSING UNITS.” 2022 American Community Survey 5-Year Estimates. U.S. Census Bureau, American Community Survey Office. Web. 07 December 2023. &lt;ftp.census.gov&gt;.</w:t>
      </w:r>
    </w:p>
    <w:p w14:paraId="583741DF"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5D074E57" w14:textId="6E51EE7E"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“B25003 TENURE.” 2022 American Community Survey 5-Year Estimates. U.S. Census Bureau, American Community Survey Office. Web. 07 December 2023. &lt;ftp.census.gov&gt;.</w:t>
      </w:r>
    </w:p>
    <w:p w14:paraId="679E2C6A" w14:textId="77777777"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p>
    <w:p w14:paraId="7C5549ED" w14:textId="5AE6E9A4" w:rsidR="00CC1831" w:rsidRPr="00BF3325" w:rsidRDefault="00CC1831" w:rsidP="00CC1831">
      <w:pPr>
        <w:pStyle w:val="NormalWeb"/>
        <w:shd w:val="clear" w:color="auto" w:fill="FFFFFF"/>
        <w:spacing w:before="0" w:beforeAutospacing="0" w:after="0" w:afterAutospacing="0"/>
        <w:rPr>
          <w:rFonts w:asciiTheme="minorHAnsi" w:eastAsiaTheme="minorHAnsi" w:hAnsiTheme="minorHAnsi" w:cstheme="minorBidi"/>
          <w:sz w:val="22"/>
          <w:szCs w:val="22"/>
        </w:rPr>
      </w:pPr>
      <w:r w:rsidRPr="00BF3325">
        <w:rPr>
          <w:rFonts w:asciiTheme="minorHAnsi" w:eastAsiaTheme="minorHAnsi" w:hAnsiTheme="minorHAnsi" w:cstheme="minorBidi"/>
          <w:sz w:val="22"/>
          <w:szCs w:val="22"/>
        </w:rPr>
        <w:t>United States Census Bureau. “B25077 MEDIAN VALUE (DOLLARS).” 2022 American Community Survey 5-Year Estimates. U.S. Census Bureau, American Community Survey Office. Web. 07 December 2023. &lt;ftp.census.gov&gt;.</w:t>
      </w:r>
    </w:p>
    <w:p w14:paraId="43E51A6D" w14:textId="77777777" w:rsidR="003F5BC2" w:rsidRPr="00B5592D" w:rsidRDefault="003F5BC2" w:rsidP="00F35724">
      <w:pPr>
        <w:rPr>
          <w:rFonts w:ascii="Cambria" w:hAnsi="Cambria"/>
          <w:sz w:val="22"/>
          <w:szCs w:val="22"/>
        </w:rPr>
      </w:pPr>
    </w:p>
    <w:p w14:paraId="3102BFA5" w14:textId="77777777" w:rsidR="00F35724" w:rsidRPr="00F35724" w:rsidRDefault="00F35724" w:rsidP="00F35724">
      <w:pPr>
        <w:rPr>
          <w:rFonts w:ascii="Cambria" w:hAnsi="Cambria"/>
          <w:bCs/>
        </w:rPr>
      </w:pPr>
    </w:p>
    <w:p w14:paraId="517EE0AE" w14:textId="77777777" w:rsidR="00F35724" w:rsidRPr="00F35724" w:rsidRDefault="00F35724" w:rsidP="00F35724">
      <w:pPr>
        <w:pStyle w:val="Heading1"/>
        <w:rPr>
          <w:rFonts w:ascii="Cambria" w:hAnsi="Cambria"/>
        </w:rPr>
      </w:pPr>
      <w:r w:rsidRPr="00F35724">
        <w:rPr>
          <w:rFonts w:ascii="Cambria" w:hAnsi="Cambria"/>
        </w:rPr>
        <w:t>NOTES</w:t>
      </w:r>
    </w:p>
    <w:p w14:paraId="0B7E457C" w14:textId="77777777" w:rsidR="00F35724" w:rsidRDefault="00F35724" w:rsidP="00F35724"/>
    <w:p w14:paraId="063C6A76"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B01001: SEX BY AGE</w:t>
      </w:r>
    </w:p>
    <w:p w14:paraId="56CCDE1F"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Universe: Total population</w:t>
      </w:r>
    </w:p>
    <w:p w14:paraId="0C724061" w14:textId="77777777" w:rsidR="00F35724" w:rsidRPr="00CC1831" w:rsidRDefault="00F35724" w:rsidP="00F35724">
      <w:pPr>
        <w:rPr>
          <w:rFonts w:asciiTheme="minorHAnsi" w:eastAsiaTheme="minorHAnsi" w:hAnsiTheme="minorHAnsi" w:cstheme="minorBidi"/>
          <w:sz w:val="22"/>
          <w:szCs w:val="22"/>
        </w:rPr>
      </w:pPr>
    </w:p>
    <w:p w14:paraId="161C790C"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B01002: MEDIAN AGE BY SEX</w:t>
      </w:r>
    </w:p>
    <w:p w14:paraId="5D5C707D"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Universe: Total population</w:t>
      </w:r>
    </w:p>
    <w:p w14:paraId="3E544EEA" w14:textId="77777777" w:rsidR="00F35724" w:rsidRPr="00CC1831" w:rsidRDefault="00F35724" w:rsidP="00F35724">
      <w:pPr>
        <w:rPr>
          <w:rFonts w:asciiTheme="minorHAnsi" w:eastAsiaTheme="minorHAnsi" w:hAnsiTheme="minorHAnsi" w:cstheme="minorBidi"/>
          <w:sz w:val="22"/>
          <w:szCs w:val="22"/>
        </w:rPr>
      </w:pPr>
    </w:p>
    <w:p w14:paraId="4364493D"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B03002: HISPANIC OR LATINO ORIGIN BY RACE</w:t>
      </w:r>
    </w:p>
    <w:p w14:paraId="795A8804"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Universe: Total population</w:t>
      </w:r>
    </w:p>
    <w:p w14:paraId="21210002" w14:textId="77777777" w:rsidR="00F35724" w:rsidRPr="00CC1831" w:rsidRDefault="00F35724" w:rsidP="00F35724">
      <w:pPr>
        <w:rPr>
          <w:rFonts w:asciiTheme="minorHAnsi" w:eastAsiaTheme="minorHAnsi" w:hAnsiTheme="minorHAnsi" w:cstheme="minorBidi"/>
          <w:sz w:val="22"/>
          <w:szCs w:val="22"/>
        </w:rPr>
      </w:pPr>
    </w:p>
    <w:p w14:paraId="0A0A1EA0"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B11001: HOUSEHOLD TYPE (INCLUDING LIVING ALONE)</w:t>
      </w:r>
    </w:p>
    <w:p w14:paraId="4145A80E"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Universe: Households</w:t>
      </w:r>
    </w:p>
    <w:p w14:paraId="284D0950" w14:textId="77777777" w:rsidR="00F35724" w:rsidRPr="00CC1831" w:rsidRDefault="00F35724" w:rsidP="00F35724">
      <w:pPr>
        <w:rPr>
          <w:rFonts w:asciiTheme="minorHAnsi" w:eastAsiaTheme="minorHAnsi" w:hAnsiTheme="minorHAnsi" w:cstheme="minorBidi"/>
          <w:sz w:val="22"/>
          <w:szCs w:val="22"/>
        </w:rPr>
      </w:pPr>
    </w:p>
    <w:p w14:paraId="2E6B0EF1"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B11003: FAMILY TYPE BY PRESENCE AND AGE OF OWN CHILDREN UNDER 18 YEARS</w:t>
      </w:r>
    </w:p>
    <w:p w14:paraId="5C28F4F6"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Universe: Families</w:t>
      </w:r>
    </w:p>
    <w:p w14:paraId="2A4A7129" w14:textId="77777777" w:rsidR="00F35724" w:rsidRPr="00CC1831" w:rsidRDefault="00F35724" w:rsidP="00F35724">
      <w:pPr>
        <w:rPr>
          <w:rFonts w:asciiTheme="minorHAnsi" w:eastAsiaTheme="minorHAnsi" w:hAnsiTheme="minorHAnsi" w:cstheme="minorBidi"/>
          <w:sz w:val="22"/>
          <w:szCs w:val="22"/>
        </w:rPr>
      </w:pPr>
    </w:p>
    <w:p w14:paraId="04E40C0A"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B15003: EDUCATIONAL ATTAINMENT FOR THE POPULATION 25 YEARS AND OVER</w:t>
      </w:r>
    </w:p>
    <w:p w14:paraId="3BAE7C74" w14:textId="77777777" w:rsidR="00F35724" w:rsidRPr="00CC1831" w:rsidRDefault="00F35724" w:rsidP="00F35724">
      <w:pPr>
        <w:rPr>
          <w:rFonts w:asciiTheme="minorHAnsi" w:eastAsiaTheme="minorHAnsi" w:hAnsiTheme="minorHAnsi" w:cstheme="minorBidi"/>
          <w:sz w:val="22"/>
          <w:szCs w:val="22"/>
        </w:rPr>
      </w:pPr>
      <w:r w:rsidRPr="00CC1831">
        <w:rPr>
          <w:rFonts w:asciiTheme="minorHAnsi" w:eastAsiaTheme="minorHAnsi" w:hAnsiTheme="minorHAnsi" w:cstheme="minorBidi"/>
          <w:sz w:val="22"/>
          <w:szCs w:val="22"/>
        </w:rPr>
        <w:t>Universe: Population 25 years and over</w:t>
      </w:r>
    </w:p>
    <w:p w14:paraId="2FE9370C" w14:textId="77777777" w:rsidR="00F35724" w:rsidRPr="00B5592D" w:rsidRDefault="00F35724" w:rsidP="00F35724">
      <w:pPr>
        <w:rPr>
          <w:rFonts w:ascii="Cambria" w:hAnsi="Cambria"/>
          <w:sz w:val="22"/>
          <w:szCs w:val="22"/>
        </w:rPr>
      </w:pPr>
    </w:p>
    <w:p w14:paraId="20F19716"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B17010: POVERTY STATUS IN THE PAST 12 MONTHS OF FAMILIES BY FAMILY TYPE BY PRESENCE OF RELATED CHILDREN UNDER 18 YEARS BY AGE OF RELATED CHILDREN</w:t>
      </w:r>
    </w:p>
    <w:p w14:paraId="6F3DE4A8"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Universe: Families</w:t>
      </w:r>
    </w:p>
    <w:p w14:paraId="367E64CA" w14:textId="77777777" w:rsidR="00BF3325" w:rsidRDefault="00BF3325" w:rsidP="00F35724">
      <w:pPr>
        <w:rPr>
          <w:rFonts w:asciiTheme="minorHAnsi" w:hAnsiTheme="minorHAnsi" w:cstheme="minorHAnsi"/>
          <w:sz w:val="22"/>
          <w:szCs w:val="22"/>
        </w:rPr>
      </w:pPr>
    </w:p>
    <w:p w14:paraId="01B930A3" w14:textId="62A386FC"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B19001: HOUSEHOLD INCOME IN THE PAST 12 MONTHS (IN 202</w:t>
      </w:r>
      <w:r w:rsidR="00F15E88">
        <w:rPr>
          <w:rFonts w:asciiTheme="minorHAnsi" w:hAnsiTheme="minorHAnsi" w:cstheme="minorHAnsi"/>
          <w:sz w:val="22"/>
          <w:szCs w:val="22"/>
        </w:rPr>
        <w:t>2</w:t>
      </w:r>
      <w:r w:rsidRPr="00CC1831">
        <w:rPr>
          <w:rFonts w:asciiTheme="minorHAnsi" w:hAnsiTheme="minorHAnsi" w:cstheme="minorHAnsi"/>
          <w:sz w:val="22"/>
          <w:szCs w:val="22"/>
        </w:rPr>
        <w:t xml:space="preserve"> INFLATION-ADJUSTED DOLLARS)</w:t>
      </w:r>
    </w:p>
    <w:p w14:paraId="388B81C8"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Universe: Households</w:t>
      </w:r>
    </w:p>
    <w:p w14:paraId="7AF47700" w14:textId="77777777" w:rsidR="00F35724" w:rsidRPr="00CC1831" w:rsidRDefault="00F35724" w:rsidP="00F35724">
      <w:pPr>
        <w:rPr>
          <w:rFonts w:asciiTheme="minorHAnsi" w:hAnsiTheme="minorHAnsi" w:cstheme="minorHAnsi"/>
          <w:sz w:val="22"/>
          <w:szCs w:val="22"/>
        </w:rPr>
      </w:pPr>
    </w:p>
    <w:p w14:paraId="0F863835" w14:textId="7F0D3A2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B19013: MEDIAN HOUSEHOLD INCOME IN THE PAST 12 MONTHS (IN 202</w:t>
      </w:r>
      <w:r w:rsidR="00F15E88">
        <w:rPr>
          <w:rFonts w:asciiTheme="minorHAnsi" w:hAnsiTheme="minorHAnsi" w:cstheme="minorHAnsi"/>
          <w:sz w:val="22"/>
          <w:szCs w:val="22"/>
        </w:rPr>
        <w:t>2</w:t>
      </w:r>
      <w:r w:rsidRPr="00CC1831">
        <w:rPr>
          <w:rFonts w:asciiTheme="minorHAnsi" w:hAnsiTheme="minorHAnsi" w:cstheme="minorHAnsi"/>
          <w:sz w:val="22"/>
          <w:szCs w:val="22"/>
        </w:rPr>
        <w:t xml:space="preserve"> INFLATION-ADJUSTED DOLLARS)</w:t>
      </w:r>
    </w:p>
    <w:p w14:paraId="2B2710D0"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Universe: Households</w:t>
      </w:r>
    </w:p>
    <w:p w14:paraId="29673998" w14:textId="77777777" w:rsidR="00F35724" w:rsidRPr="00CC1831" w:rsidRDefault="00F35724" w:rsidP="00F35724">
      <w:pPr>
        <w:rPr>
          <w:rFonts w:asciiTheme="minorHAnsi" w:hAnsiTheme="minorHAnsi" w:cstheme="minorHAnsi"/>
          <w:sz w:val="22"/>
          <w:szCs w:val="22"/>
        </w:rPr>
      </w:pPr>
    </w:p>
    <w:p w14:paraId="78195741"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B23025: EMPLOYMENT STATUS FOR THE POPULATION 16 YEARS AND OVER</w:t>
      </w:r>
    </w:p>
    <w:p w14:paraId="7F354D0C"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Universe: Population 16 years and over</w:t>
      </w:r>
    </w:p>
    <w:p w14:paraId="3AD9D00D" w14:textId="77777777" w:rsidR="00F35724" w:rsidRPr="00CC1831" w:rsidRDefault="00F35724" w:rsidP="00F35724">
      <w:pPr>
        <w:rPr>
          <w:rFonts w:asciiTheme="minorHAnsi" w:hAnsiTheme="minorHAnsi" w:cstheme="minorHAnsi"/>
          <w:sz w:val="22"/>
          <w:szCs w:val="22"/>
        </w:rPr>
      </w:pPr>
    </w:p>
    <w:p w14:paraId="510F64F4"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lastRenderedPageBreak/>
        <w:t>B25001: HOUSING UNITS</w:t>
      </w:r>
    </w:p>
    <w:p w14:paraId="56A0C380" w14:textId="643466E8"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Universe: Housing units</w:t>
      </w:r>
    </w:p>
    <w:p w14:paraId="495CB08A" w14:textId="03ED8B4F" w:rsidR="00543A18" w:rsidRPr="00CC1831" w:rsidRDefault="00543A18" w:rsidP="00F35724">
      <w:pPr>
        <w:rPr>
          <w:rFonts w:asciiTheme="minorHAnsi" w:hAnsiTheme="minorHAnsi" w:cstheme="minorHAnsi"/>
          <w:sz w:val="22"/>
          <w:szCs w:val="22"/>
        </w:rPr>
      </w:pPr>
    </w:p>
    <w:p w14:paraId="7FE9F315" w14:textId="1FE46AF4" w:rsidR="00543A18" w:rsidRPr="00CC1831" w:rsidRDefault="00543A18" w:rsidP="00543A18">
      <w:pPr>
        <w:rPr>
          <w:rFonts w:asciiTheme="minorHAnsi" w:hAnsiTheme="minorHAnsi" w:cstheme="minorHAnsi"/>
          <w:sz w:val="22"/>
          <w:szCs w:val="22"/>
        </w:rPr>
      </w:pPr>
      <w:r w:rsidRPr="00CC1831">
        <w:rPr>
          <w:rFonts w:asciiTheme="minorHAnsi" w:hAnsiTheme="minorHAnsi" w:cstheme="minorHAnsi"/>
          <w:sz w:val="22"/>
          <w:szCs w:val="22"/>
        </w:rPr>
        <w:t>B25003: TENURE</w:t>
      </w:r>
    </w:p>
    <w:p w14:paraId="4B05FBC3" w14:textId="4809AB6F" w:rsidR="00543A18" w:rsidRPr="00CC1831" w:rsidRDefault="00543A18" w:rsidP="00543A18">
      <w:pPr>
        <w:rPr>
          <w:rFonts w:asciiTheme="minorHAnsi" w:hAnsiTheme="minorHAnsi" w:cstheme="minorHAnsi"/>
          <w:sz w:val="22"/>
          <w:szCs w:val="22"/>
        </w:rPr>
      </w:pPr>
      <w:r w:rsidRPr="00CC1831">
        <w:rPr>
          <w:rFonts w:asciiTheme="minorHAnsi" w:hAnsiTheme="minorHAnsi" w:cstheme="minorHAnsi"/>
          <w:sz w:val="22"/>
          <w:szCs w:val="22"/>
        </w:rPr>
        <w:t>Universe: Occupied housing units</w:t>
      </w:r>
    </w:p>
    <w:p w14:paraId="7078DDB0" w14:textId="77777777" w:rsidR="00F35724" w:rsidRPr="00CC1831" w:rsidRDefault="00F35724" w:rsidP="00F35724">
      <w:pPr>
        <w:rPr>
          <w:rFonts w:asciiTheme="minorHAnsi" w:hAnsiTheme="minorHAnsi" w:cstheme="minorHAnsi"/>
          <w:sz w:val="22"/>
          <w:szCs w:val="22"/>
        </w:rPr>
      </w:pPr>
    </w:p>
    <w:p w14:paraId="67DDA11F" w14:textId="77777777"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B25077: MEDIAN VALUE (DOLLARS)</w:t>
      </w:r>
    </w:p>
    <w:p w14:paraId="3C7B0997" w14:textId="2D5F6ADE" w:rsidR="00F35724" w:rsidRPr="00CC1831" w:rsidRDefault="00F35724" w:rsidP="00F35724">
      <w:pPr>
        <w:rPr>
          <w:rFonts w:asciiTheme="minorHAnsi" w:hAnsiTheme="minorHAnsi" w:cstheme="minorHAnsi"/>
          <w:sz w:val="22"/>
          <w:szCs w:val="22"/>
        </w:rPr>
      </w:pPr>
      <w:r w:rsidRPr="00CC1831">
        <w:rPr>
          <w:rFonts w:asciiTheme="minorHAnsi" w:hAnsiTheme="minorHAnsi" w:cstheme="minorHAnsi"/>
          <w:sz w:val="22"/>
          <w:szCs w:val="22"/>
        </w:rPr>
        <w:t>Universe: Owner-occupied housing units</w:t>
      </w:r>
    </w:p>
    <w:p w14:paraId="40938789" w14:textId="77777777" w:rsidR="003F5BC2" w:rsidRPr="00B5592D" w:rsidRDefault="003F5BC2" w:rsidP="00F35724">
      <w:pPr>
        <w:rPr>
          <w:rFonts w:ascii="Cambria" w:hAnsi="Cambria"/>
          <w:sz w:val="22"/>
          <w:szCs w:val="22"/>
        </w:rPr>
      </w:pPr>
    </w:p>
    <w:p w14:paraId="572BABD6" w14:textId="77777777" w:rsidR="00F35724" w:rsidRDefault="00F35724" w:rsidP="00F35724"/>
    <w:p w14:paraId="416C239C" w14:textId="77777777" w:rsidR="00F35724" w:rsidRPr="00F35724" w:rsidRDefault="00F35724" w:rsidP="00F35724">
      <w:pPr>
        <w:pStyle w:val="Heading1"/>
        <w:rPr>
          <w:rFonts w:ascii="Cambria" w:hAnsi="Cambria"/>
        </w:rPr>
      </w:pPr>
      <w:r w:rsidRPr="00F35724">
        <w:rPr>
          <w:rFonts w:ascii="Cambria" w:hAnsi="Cambria"/>
        </w:rPr>
        <w:t>NOTES FROM THE CENSUS BUREAU</w:t>
      </w:r>
    </w:p>
    <w:p w14:paraId="6C9EDC9A" w14:textId="77777777" w:rsidR="00F35724" w:rsidRPr="00C470C1" w:rsidRDefault="00F35724" w:rsidP="00F35724"/>
    <w:p w14:paraId="799C34FE" w14:textId="77777777" w:rsidR="00CC1831" w:rsidRPr="00CC1831" w:rsidRDefault="00CC1831" w:rsidP="00CC1831">
      <w:pPr>
        <w:rPr>
          <w:rFonts w:asciiTheme="minorHAnsi" w:hAnsiTheme="minorHAnsi" w:cstheme="minorHAnsi"/>
          <w:sz w:val="22"/>
          <w:szCs w:val="22"/>
        </w:rPr>
      </w:pPr>
      <w:r w:rsidRPr="00CC1831">
        <w:rPr>
          <w:rFonts w:asciiTheme="minorHAnsi" w:hAnsiTheme="minorHAnsi" w:cstheme="minorHAnsi"/>
          <w:sz w:val="22"/>
          <w:szCs w:val="22"/>
        </w:rPr>
        <w:t>Although the American Community Survey (ACS) produces population, demographic and housing unit estimates, the decennial census is the official source of population totals for April 1st of each decennial year. In between censuses, the Census Bureau's Population Estimates Program produces and disseminates the official estimates of the population for the nation, states, counties, cities, and towns and estimates of housing units for states and counties.</w:t>
      </w:r>
      <w:r w:rsidRPr="00CC1831">
        <w:rPr>
          <w:rFonts w:asciiTheme="minorHAnsi" w:hAnsiTheme="minorHAnsi" w:cstheme="minorHAnsi"/>
          <w:sz w:val="22"/>
          <w:szCs w:val="22"/>
        </w:rPr>
        <w:br/>
      </w:r>
    </w:p>
    <w:p w14:paraId="78AA0063" w14:textId="5CF82CDF" w:rsidR="00CC1831" w:rsidRPr="00CC1831" w:rsidRDefault="00CC1831" w:rsidP="00CC1831">
      <w:pPr>
        <w:rPr>
          <w:rFonts w:asciiTheme="minorHAnsi" w:hAnsiTheme="minorHAnsi" w:cstheme="minorHAnsi"/>
          <w:sz w:val="22"/>
          <w:szCs w:val="22"/>
        </w:rPr>
      </w:pPr>
      <w:r w:rsidRPr="00CC1831">
        <w:rPr>
          <w:rFonts w:asciiTheme="minorHAnsi" w:hAnsiTheme="minorHAnsi" w:cstheme="minorHAnsi"/>
          <w:sz w:val="22"/>
          <w:szCs w:val="22"/>
        </w:rPr>
        <w:t>Information about the American Community Survey (ACS) can be found on the </w:t>
      </w:r>
      <w:hyperlink r:id="rId5" w:history="1">
        <w:r w:rsidRPr="00CC1831">
          <w:rPr>
            <w:rFonts w:asciiTheme="minorHAnsi" w:hAnsiTheme="minorHAnsi" w:cstheme="minorHAnsi"/>
            <w:color w:val="0000FF"/>
            <w:sz w:val="22"/>
            <w:szCs w:val="22"/>
            <w:u w:val="single"/>
          </w:rPr>
          <w:t>ACS website</w:t>
        </w:r>
      </w:hyperlink>
      <w:r w:rsidRPr="00CC1831">
        <w:rPr>
          <w:rFonts w:asciiTheme="minorHAnsi" w:hAnsiTheme="minorHAnsi" w:cstheme="minorHAnsi"/>
          <w:sz w:val="22"/>
          <w:szCs w:val="22"/>
        </w:rPr>
        <w:t>. Supporting documentation including code lists, subject definitions, data accuracy, and statistical testing, and a full list of ACS tables and table shells (without estimates) can be found on the </w:t>
      </w:r>
      <w:hyperlink r:id="rId6" w:history="1">
        <w:r w:rsidRPr="00CC1831">
          <w:rPr>
            <w:rFonts w:asciiTheme="minorHAnsi" w:hAnsiTheme="minorHAnsi" w:cstheme="minorHAnsi"/>
            <w:color w:val="0000FF"/>
            <w:sz w:val="22"/>
            <w:szCs w:val="22"/>
            <w:u w:val="single"/>
          </w:rPr>
          <w:t>Technical Documentation</w:t>
        </w:r>
      </w:hyperlink>
      <w:r w:rsidR="00021FC2">
        <w:rPr>
          <w:rFonts w:asciiTheme="minorHAnsi" w:hAnsiTheme="minorHAnsi" w:cstheme="minorHAnsi"/>
          <w:color w:val="0000FF"/>
          <w:sz w:val="22"/>
          <w:szCs w:val="22"/>
          <w:u w:val="single"/>
        </w:rPr>
        <w:t xml:space="preserve"> </w:t>
      </w:r>
      <w:r w:rsidRPr="00CC1831">
        <w:rPr>
          <w:rFonts w:asciiTheme="minorHAnsi" w:hAnsiTheme="minorHAnsi" w:cstheme="minorHAnsi"/>
          <w:sz w:val="22"/>
          <w:szCs w:val="22"/>
        </w:rPr>
        <w:t>section of the ACS website.</w:t>
      </w:r>
      <w:r w:rsidRPr="00CC1831">
        <w:rPr>
          <w:rFonts w:asciiTheme="minorHAnsi" w:hAnsiTheme="minorHAnsi" w:cstheme="minorHAnsi"/>
          <w:sz w:val="22"/>
          <w:szCs w:val="22"/>
        </w:rPr>
        <w:br/>
      </w:r>
      <w:r w:rsidRPr="00CC1831">
        <w:rPr>
          <w:rFonts w:asciiTheme="minorHAnsi" w:hAnsiTheme="minorHAnsi" w:cstheme="minorHAnsi"/>
          <w:sz w:val="22"/>
          <w:szCs w:val="22"/>
        </w:rPr>
        <w:br/>
        <w:t>Sample size and data quality measures (including coverage rates, allocation rates, and response rates) can be found on the American Community Survey website in the </w:t>
      </w:r>
      <w:hyperlink r:id="rId7" w:history="1">
        <w:r w:rsidRPr="00CC1831">
          <w:rPr>
            <w:rFonts w:asciiTheme="minorHAnsi" w:hAnsiTheme="minorHAnsi" w:cstheme="minorHAnsi"/>
            <w:color w:val="0000FF"/>
            <w:sz w:val="22"/>
            <w:szCs w:val="22"/>
            <w:u w:val="single"/>
          </w:rPr>
          <w:t>Methodology</w:t>
        </w:r>
      </w:hyperlink>
      <w:r w:rsidR="00021FC2" w:rsidRPr="00CC1831">
        <w:rPr>
          <w:rFonts w:asciiTheme="minorHAnsi" w:hAnsiTheme="minorHAnsi" w:cstheme="minorHAnsi"/>
          <w:sz w:val="22"/>
          <w:szCs w:val="22"/>
        </w:rPr>
        <w:t xml:space="preserve"> </w:t>
      </w:r>
      <w:r w:rsidR="00021FC2">
        <w:rPr>
          <w:rFonts w:asciiTheme="minorHAnsi" w:hAnsiTheme="minorHAnsi" w:cstheme="minorHAnsi"/>
          <w:sz w:val="22"/>
          <w:szCs w:val="22"/>
        </w:rPr>
        <w:t>section.</w:t>
      </w:r>
      <w:r w:rsidRPr="00CC1831">
        <w:rPr>
          <w:rFonts w:asciiTheme="minorHAnsi" w:hAnsiTheme="minorHAnsi" w:cstheme="minorHAnsi"/>
          <w:sz w:val="22"/>
          <w:szCs w:val="22"/>
        </w:rPr>
        <w:br/>
      </w:r>
    </w:p>
    <w:p w14:paraId="2CDDC995" w14:textId="77777777" w:rsidR="00CC1831" w:rsidRPr="00CC1831" w:rsidRDefault="00CC1831" w:rsidP="00CC1831">
      <w:pPr>
        <w:rPr>
          <w:rFonts w:asciiTheme="minorHAnsi" w:hAnsiTheme="minorHAnsi" w:cstheme="minorHAnsi"/>
          <w:sz w:val="22"/>
          <w:szCs w:val="22"/>
        </w:rPr>
      </w:pPr>
      <w:r w:rsidRPr="00CC1831">
        <w:rPr>
          <w:rFonts w:asciiTheme="minorHAnsi" w:hAnsiTheme="minorHAnsi" w:cstheme="minorHAnsi"/>
          <w:sz w:val="22"/>
          <w:szCs w:val="22"/>
        </w:rPr>
        <w:t>Source: U.S. Census Bureau, 2018-2022 American Community Survey 5-Year Estimates</w:t>
      </w:r>
      <w:r w:rsidRPr="00CC1831">
        <w:rPr>
          <w:rFonts w:asciiTheme="minorHAnsi" w:hAnsiTheme="minorHAnsi" w:cstheme="minorHAnsi"/>
          <w:sz w:val="22"/>
          <w:szCs w:val="22"/>
        </w:rPr>
        <w:br/>
      </w:r>
    </w:p>
    <w:p w14:paraId="1A01D5E1" w14:textId="33A72FC1" w:rsidR="00CC1831" w:rsidRPr="00CC1831" w:rsidRDefault="00CC1831" w:rsidP="00CC1831">
      <w:pPr>
        <w:rPr>
          <w:rFonts w:asciiTheme="minorHAnsi" w:hAnsiTheme="minorHAnsi" w:cstheme="minorHAnsi"/>
          <w:sz w:val="22"/>
          <w:szCs w:val="22"/>
        </w:rPr>
      </w:pPr>
      <w:r w:rsidRPr="00CC1831">
        <w:rPr>
          <w:rFonts w:asciiTheme="minorHAnsi" w:hAnsiTheme="minorHAnsi" w:cstheme="minorHAnsi"/>
          <w:sz w:val="22"/>
          <w:szCs w:val="22"/>
        </w:rPr>
        <w:t xml:space="preserve">Data are based on a sample and are subject to sampling variability. The degree of uncertainty for an estimate arising from sampling variability is represented through the use of a margin of error. The value shown here is the 90 percent margin of error. The margin of error can be interpreted roughly as providing a 90 percent probability that the interval defined by the estimate minus the margin of error and the estimate plus the margin of error (the lower and upper confidence bounds) contains the true value. In addition to sampling variability, the ACS estimates are subject to </w:t>
      </w:r>
      <w:proofErr w:type="spellStart"/>
      <w:r w:rsidRPr="00CC1831">
        <w:rPr>
          <w:rFonts w:asciiTheme="minorHAnsi" w:hAnsiTheme="minorHAnsi" w:cstheme="minorHAnsi"/>
          <w:sz w:val="22"/>
          <w:szCs w:val="22"/>
        </w:rPr>
        <w:t>nonsampling</w:t>
      </w:r>
      <w:proofErr w:type="spellEnd"/>
      <w:r w:rsidRPr="00CC1831">
        <w:rPr>
          <w:rFonts w:asciiTheme="minorHAnsi" w:hAnsiTheme="minorHAnsi" w:cstheme="minorHAnsi"/>
          <w:sz w:val="22"/>
          <w:szCs w:val="22"/>
        </w:rPr>
        <w:t xml:space="preserve"> error (for a discussion of </w:t>
      </w:r>
      <w:proofErr w:type="spellStart"/>
      <w:r w:rsidRPr="00CC1831">
        <w:rPr>
          <w:rFonts w:asciiTheme="minorHAnsi" w:hAnsiTheme="minorHAnsi" w:cstheme="minorHAnsi"/>
          <w:sz w:val="22"/>
          <w:szCs w:val="22"/>
        </w:rPr>
        <w:t>nonsampling</w:t>
      </w:r>
      <w:proofErr w:type="spellEnd"/>
      <w:r w:rsidRPr="00CC1831">
        <w:rPr>
          <w:rFonts w:asciiTheme="minorHAnsi" w:hAnsiTheme="minorHAnsi" w:cstheme="minorHAnsi"/>
          <w:sz w:val="22"/>
          <w:szCs w:val="22"/>
        </w:rPr>
        <w:t xml:space="preserve"> variability, see </w:t>
      </w:r>
      <w:hyperlink r:id="rId8" w:history="1">
        <w:r w:rsidRPr="00CC1831">
          <w:rPr>
            <w:rFonts w:asciiTheme="minorHAnsi" w:hAnsiTheme="minorHAnsi" w:cstheme="minorHAnsi"/>
            <w:color w:val="0000FF"/>
            <w:sz w:val="22"/>
            <w:szCs w:val="22"/>
            <w:u w:val="single"/>
          </w:rPr>
          <w:t>ACS Technical Documentation</w:t>
        </w:r>
      </w:hyperlink>
      <w:r w:rsidR="00021FC2" w:rsidRPr="00021FC2">
        <w:rPr>
          <w:rFonts w:asciiTheme="minorHAnsi" w:hAnsiTheme="minorHAnsi" w:cstheme="minorHAnsi"/>
          <w:sz w:val="22"/>
          <w:szCs w:val="22"/>
        </w:rPr>
        <w:t>). T</w:t>
      </w:r>
      <w:r w:rsidRPr="00CC1831">
        <w:rPr>
          <w:rFonts w:asciiTheme="minorHAnsi" w:hAnsiTheme="minorHAnsi" w:cstheme="minorHAnsi"/>
          <w:sz w:val="22"/>
          <w:szCs w:val="22"/>
        </w:rPr>
        <w:t xml:space="preserve">he effect of </w:t>
      </w:r>
      <w:proofErr w:type="spellStart"/>
      <w:r w:rsidRPr="00CC1831">
        <w:rPr>
          <w:rFonts w:asciiTheme="minorHAnsi" w:hAnsiTheme="minorHAnsi" w:cstheme="minorHAnsi"/>
          <w:sz w:val="22"/>
          <w:szCs w:val="22"/>
        </w:rPr>
        <w:t>nonsampling</w:t>
      </w:r>
      <w:proofErr w:type="spellEnd"/>
      <w:r w:rsidRPr="00CC1831">
        <w:rPr>
          <w:rFonts w:asciiTheme="minorHAnsi" w:hAnsiTheme="minorHAnsi" w:cstheme="minorHAnsi"/>
          <w:sz w:val="22"/>
          <w:szCs w:val="22"/>
        </w:rPr>
        <w:t xml:space="preserve"> error is not represented in these tables.</w:t>
      </w:r>
      <w:r w:rsidRPr="00CC1831">
        <w:rPr>
          <w:rFonts w:asciiTheme="minorHAnsi" w:hAnsiTheme="minorHAnsi" w:cstheme="minorHAnsi"/>
          <w:sz w:val="22"/>
          <w:szCs w:val="22"/>
        </w:rPr>
        <w:br/>
      </w:r>
    </w:p>
    <w:p w14:paraId="5376CA44" w14:textId="77777777" w:rsidR="00CC1831" w:rsidRPr="00CC1831" w:rsidRDefault="00CC1831" w:rsidP="00CC1831">
      <w:pPr>
        <w:rPr>
          <w:rFonts w:asciiTheme="minorHAnsi" w:hAnsiTheme="minorHAnsi" w:cstheme="minorHAnsi"/>
          <w:sz w:val="22"/>
          <w:szCs w:val="22"/>
        </w:rPr>
      </w:pPr>
      <w:r w:rsidRPr="00CC1831">
        <w:rPr>
          <w:rFonts w:asciiTheme="minorHAnsi" w:hAnsiTheme="minorHAnsi" w:cstheme="minorHAnsi"/>
          <w:sz w:val="22"/>
          <w:szCs w:val="22"/>
        </w:rPr>
        <w:t>The 2018-2022 American Community Survey (ACS) data generally reflect the March 2020 Office of Management and Budget (OMB) delineations of metropolitan and micropolitan statistical areas. In certain instances, the names, codes, and boundaries of the principal cities shown in ACS tables may differ from the OMB delineation lists due to differences in the effective dates of the geographic entities.</w:t>
      </w:r>
      <w:r w:rsidRPr="00CC1831">
        <w:rPr>
          <w:rFonts w:asciiTheme="minorHAnsi" w:hAnsiTheme="minorHAnsi" w:cstheme="minorHAnsi"/>
          <w:sz w:val="22"/>
          <w:szCs w:val="22"/>
        </w:rPr>
        <w:br/>
      </w:r>
    </w:p>
    <w:p w14:paraId="0F3A6F05" w14:textId="77777777" w:rsidR="00CC1831" w:rsidRDefault="00CC1831" w:rsidP="00CC1831">
      <w:pPr>
        <w:rPr>
          <w:rFonts w:asciiTheme="minorHAnsi" w:hAnsiTheme="minorHAnsi" w:cstheme="minorHAnsi"/>
          <w:sz w:val="22"/>
          <w:szCs w:val="22"/>
        </w:rPr>
      </w:pPr>
      <w:r w:rsidRPr="00CC1831">
        <w:rPr>
          <w:rFonts w:asciiTheme="minorHAnsi" w:hAnsiTheme="minorHAnsi" w:cstheme="minorHAnsi"/>
          <w:sz w:val="22"/>
          <w:szCs w:val="22"/>
        </w:rPr>
        <w:t>Estimates of urban and rural populations, housing units, and characteristics reflect boundaries of urban areas defined based on 2020 Census data. As a result, data for urban and rural areas from the ACS do not necessarily reflect the results of ongoing urbanization.</w:t>
      </w:r>
    </w:p>
    <w:p w14:paraId="1D855251" w14:textId="77777777" w:rsidR="00021FC2" w:rsidRDefault="00021FC2" w:rsidP="00021FC2">
      <w:pPr>
        <w:pBdr>
          <w:bottom w:val="single" w:sz="6" w:space="1" w:color="auto"/>
        </w:pBdr>
        <w:rPr>
          <w:rFonts w:asciiTheme="minorHAnsi" w:hAnsiTheme="minorHAnsi" w:cstheme="minorHAnsi"/>
          <w:sz w:val="22"/>
          <w:szCs w:val="22"/>
        </w:rPr>
      </w:pPr>
    </w:p>
    <w:p w14:paraId="51726490" w14:textId="77777777" w:rsidR="00F15E88" w:rsidRDefault="00F15E88" w:rsidP="00F15E88"/>
    <w:p w14:paraId="5B469AB4" w14:textId="77777777" w:rsidR="00F15E88" w:rsidRPr="00F15E88" w:rsidRDefault="00F15E88" w:rsidP="00F15E88"/>
    <w:p w14:paraId="2D23E006" w14:textId="77777777" w:rsidR="00021FC2" w:rsidRPr="00021FC2" w:rsidRDefault="00021FC2" w:rsidP="00021FC2">
      <w:pPr>
        <w:pStyle w:val="Heading4"/>
        <w:rPr>
          <w:rFonts w:ascii="Cambria" w:hAnsi="Cambria"/>
          <w:sz w:val="28"/>
          <w:szCs w:val="28"/>
        </w:rPr>
      </w:pPr>
      <w:r w:rsidRPr="00021FC2">
        <w:rPr>
          <w:rFonts w:ascii="Cambria" w:hAnsi="Cambria"/>
          <w:sz w:val="28"/>
          <w:szCs w:val="28"/>
        </w:rPr>
        <w:t>Jam Values</w:t>
      </w:r>
    </w:p>
    <w:p w14:paraId="6D02F09E" w14:textId="77777777" w:rsidR="00021FC2" w:rsidRPr="00021FC2" w:rsidRDefault="00021FC2" w:rsidP="00021FC2">
      <w:pPr>
        <w:spacing w:before="100" w:beforeAutospacing="1" w:after="100" w:afterAutospacing="1"/>
        <w:rPr>
          <w:rFonts w:asciiTheme="minorHAnsi" w:hAnsiTheme="minorHAnsi" w:cstheme="minorHAnsi"/>
          <w:sz w:val="22"/>
          <w:szCs w:val="22"/>
        </w:rPr>
      </w:pPr>
      <w:r w:rsidRPr="00021FC2">
        <w:rPr>
          <w:rFonts w:asciiTheme="minorHAnsi" w:hAnsiTheme="minorHAnsi" w:cstheme="minorHAnsi"/>
          <w:sz w:val="22"/>
          <w:szCs w:val="22"/>
        </w:rPr>
        <w:t>Some data values represent unique situations where either the information to be conveyed is an explanation for the absence of data, represented by a symbol in the data display, such as “(X)”, or the information to be conveyed is an open-ended distribution, such as 115 or greater, represented by 115+.</w:t>
      </w:r>
    </w:p>
    <w:p w14:paraId="24D5DA9B" w14:textId="77777777" w:rsidR="00021FC2" w:rsidRPr="00021FC2" w:rsidRDefault="00021FC2" w:rsidP="00021FC2">
      <w:pPr>
        <w:spacing w:before="100" w:beforeAutospacing="1" w:after="100" w:afterAutospacing="1"/>
        <w:rPr>
          <w:rFonts w:asciiTheme="minorHAnsi" w:hAnsiTheme="minorHAnsi" w:cstheme="minorHAnsi"/>
          <w:i/>
          <w:sz w:val="22"/>
          <w:szCs w:val="22"/>
        </w:rPr>
      </w:pPr>
      <w:r w:rsidRPr="00021FC2">
        <w:rPr>
          <w:rFonts w:asciiTheme="minorHAnsi" w:hAnsiTheme="minorHAnsi" w:cstheme="minorHAnsi"/>
          <w:i/>
          <w:sz w:val="22"/>
          <w:szCs w:val="22"/>
        </w:rPr>
        <w:t xml:space="preserve">To facilitate sorting and/or import to a database application, Cubit shows all values that are not estimated due to availability, disclosure restrictions or sample size as -1. </w:t>
      </w:r>
    </w:p>
    <w:p w14:paraId="3B3033DE" w14:textId="77777777" w:rsidR="00021FC2" w:rsidRDefault="00021FC2" w:rsidP="00021FC2">
      <w:pPr>
        <w:pStyle w:val="Heading4"/>
        <w:rPr>
          <w:sz w:val="28"/>
          <w:szCs w:val="28"/>
        </w:rPr>
      </w:pPr>
    </w:p>
    <w:p w14:paraId="43429108" w14:textId="77777777" w:rsidR="00021FC2" w:rsidRPr="00021FC2" w:rsidRDefault="00021FC2" w:rsidP="00021FC2">
      <w:pPr>
        <w:pStyle w:val="Heading4"/>
        <w:rPr>
          <w:rFonts w:ascii="Cambria" w:hAnsi="Cambria"/>
          <w:sz w:val="28"/>
          <w:szCs w:val="28"/>
        </w:rPr>
      </w:pPr>
      <w:r w:rsidRPr="00021FC2">
        <w:rPr>
          <w:rFonts w:ascii="Cambria" w:hAnsi="Cambria"/>
          <w:sz w:val="28"/>
          <w:szCs w:val="28"/>
        </w:rPr>
        <w:t>Jam Values for Medians</w:t>
      </w:r>
    </w:p>
    <w:p w14:paraId="6BC2C163" w14:textId="77777777" w:rsidR="00021FC2" w:rsidRPr="00F15E88" w:rsidRDefault="00021FC2" w:rsidP="00021FC2">
      <w:pPr>
        <w:spacing w:before="100" w:beforeAutospacing="1" w:after="100" w:afterAutospacing="1"/>
        <w:rPr>
          <w:rFonts w:asciiTheme="minorHAnsi" w:hAnsiTheme="minorHAnsi" w:cstheme="minorHAnsi"/>
          <w:sz w:val="22"/>
          <w:szCs w:val="22"/>
        </w:rPr>
      </w:pPr>
      <w:r w:rsidRPr="00F15E88">
        <w:rPr>
          <w:rFonts w:asciiTheme="minorHAnsi" w:hAnsiTheme="minorHAnsi" w:cstheme="minorHAnsi"/>
          <w:sz w:val="22"/>
          <w:szCs w:val="22"/>
        </w:rPr>
        <w:t>The following is a listing of the jam values for medians. For example, if there is an estimate of “2499” for table B10010, then it does not indicate a dollar amount. It means that the median is somewhere below 2,500 and thus is not calculated.</w:t>
      </w:r>
    </w:p>
    <w:tbl>
      <w:tblPr>
        <w:tblStyle w:val="TableGridLight1"/>
        <w:tblW w:w="5650" w:type="dxa"/>
        <w:tblLook w:val="04A0" w:firstRow="1" w:lastRow="0" w:firstColumn="1" w:lastColumn="0" w:noHBand="0" w:noVBand="1"/>
      </w:tblPr>
      <w:tblGrid>
        <w:gridCol w:w="1435"/>
        <w:gridCol w:w="2206"/>
        <w:gridCol w:w="2009"/>
      </w:tblGrid>
      <w:tr w:rsidR="00021FC2" w:rsidRPr="00F62544" w14:paraId="167F9C6C" w14:textId="77777777" w:rsidTr="00830796">
        <w:trPr>
          <w:trHeight w:val="486"/>
        </w:trPr>
        <w:tc>
          <w:tcPr>
            <w:tcW w:w="1435" w:type="dxa"/>
            <w:vAlign w:val="center"/>
            <w:hideMark/>
          </w:tcPr>
          <w:p w14:paraId="2981D8DE" w14:textId="77777777" w:rsidR="00021FC2" w:rsidRPr="00021FC2" w:rsidRDefault="00021FC2" w:rsidP="00021FC2">
            <w:pPr>
              <w:jc w:val="center"/>
              <w:rPr>
                <w:rFonts w:asciiTheme="minorHAnsi" w:hAnsiTheme="minorHAnsi" w:cstheme="minorHAnsi"/>
                <w:sz w:val="22"/>
                <w:szCs w:val="22"/>
              </w:rPr>
            </w:pPr>
            <w:r w:rsidRPr="00021FC2">
              <w:rPr>
                <w:rFonts w:asciiTheme="minorHAnsi" w:hAnsiTheme="minorHAnsi" w:cstheme="minorHAnsi"/>
                <w:sz w:val="22"/>
                <w:szCs w:val="22"/>
              </w:rPr>
              <w:t>Jam Value</w:t>
            </w:r>
          </w:p>
        </w:tc>
        <w:tc>
          <w:tcPr>
            <w:tcW w:w="2206" w:type="dxa"/>
            <w:vAlign w:val="center"/>
            <w:hideMark/>
          </w:tcPr>
          <w:p w14:paraId="756997AF" w14:textId="77777777" w:rsidR="00021FC2" w:rsidRPr="00021FC2" w:rsidRDefault="00021FC2" w:rsidP="00021FC2">
            <w:pPr>
              <w:jc w:val="center"/>
              <w:rPr>
                <w:rFonts w:asciiTheme="minorHAnsi" w:hAnsiTheme="minorHAnsi" w:cstheme="minorHAnsi"/>
                <w:sz w:val="22"/>
                <w:szCs w:val="22"/>
              </w:rPr>
            </w:pPr>
            <w:r w:rsidRPr="00021FC2">
              <w:rPr>
                <w:rFonts w:asciiTheme="minorHAnsi" w:hAnsiTheme="minorHAnsi" w:cstheme="minorHAnsi"/>
                <w:sz w:val="22"/>
                <w:szCs w:val="22"/>
              </w:rPr>
              <w:t>Actual Meaning</w:t>
            </w:r>
          </w:p>
        </w:tc>
        <w:tc>
          <w:tcPr>
            <w:tcW w:w="2009" w:type="dxa"/>
            <w:vAlign w:val="center"/>
            <w:hideMark/>
          </w:tcPr>
          <w:p w14:paraId="6EED0903" w14:textId="77777777" w:rsidR="00021FC2" w:rsidRPr="00021FC2" w:rsidRDefault="00021FC2" w:rsidP="00021FC2">
            <w:pPr>
              <w:jc w:val="center"/>
              <w:rPr>
                <w:rFonts w:asciiTheme="minorHAnsi" w:hAnsiTheme="minorHAnsi" w:cstheme="minorHAnsi"/>
                <w:sz w:val="22"/>
                <w:szCs w:val="22"/>
              </w:rPr>
            </w:pPr>
            <w:r w:rsidRPr="00021FC2">
              <w:rPr>
                <w:rFonts w:asciiTheme="minorHAnsi" w:hAnsiTheme="minorHAnsi" w:cstheme="minorHAnsi"/>
                <w:sz w:val="22"/>
                <w:szCs w:val="22"/>
              </w:rPr>
              <w:t>Use for Medians</w:t>
            </w:r>
          </w:p>
        </w:tc>
      </w:tr>
      <w:tr w:rsidR="00021FC2" w:rsidRPr="00F62544" w14:paraId="7A334BDD" w14:textId="77777777" w:rsidTr="00830796">
        <w:trPr>
          <w:trHeight w:val="250"/>
        </w:trPr>
        <w:tc>
          <w:tcPr>
            <w:tcW w:w="1435" w:type="dxa"/>
            <w:hideMark/>
          </w:tcPr>
          <w:p w14:paraId="38A0971A" w14:textId="77777777" w:rsidR="00021FC2" w:rsidRPr="00021FC2" w:rsidRDefault="00021FC2" w:rsidP="00830796">
            <w:pPr>
              <w:rPr>
                <w:rFonts w:asciiTheme="minorHAnsi" w:hAnsiTheme="minorHAnsi" w:cstheme="minorHAnsi"/>
                <w:sz w:val="22"/>
                <w:szCs w:val="22"/>
              </w:rPr>
            </w:pPr>
            <w:r w:rsidRPr="00021FC2">
              <w:rPr>
                <w:rFonts w:asciiTheme="minorHAnsi" w:hAnsiTheme="minorHAnsi" w:cstheme="minorHAnsi"/>
                <w:sz w:val="22"/>
                <w:szCs w:val="22"/>
              </w:rPr>
              <w:t>2499</w:t>
            </w:r>
          </w:p>
        </w:tc>
        <w:tc>
          <w:tcPr>
            <w:tcW w:w="2206" w:type="dxa"/>
            <w:hideMark/>
          </w:tcPr>
          <w:p w14:paraId="03D19F4F" w14:textId="77777777" w:rsidR="00021FC2" w:rsidRPr="00021FC2" w:rsidRDefault="00021FC2" w:rsidP="00830796">
            <w:pPr>
              <w:rPr>
                <w:rFonts w:asciiTheme="minorHAnsi" w:hAnsiTheme="minorHAnsi" w:cstheme="minorHAnsi"/>
                <w:sz w:val="22"/>
                <w:szCs w:val="22"/>
              </w:rPr>
            </w:pPr>
            <w:r w:rsidRPr="00021FC2">
              <w:rPr>
                <w:rFonts w:asciiTheme="minorHAnsi" w:hAnsiTheme="minorHAnsi" w:cstheme="minorHAnsi"/>
                <w:sz w:val="22"/>
                <w:szCs w:val="22"/>
              </w:rPr>
              <w:t>2,500 or less</w:t>
            </w:r>
          </w:p>
        </w:tc>
        <w:tc>
          <w:tcPr>
            <w:tcW w:w="2009" w:type="dxa"/>
            <w:hideMark/>
          </w:tcPr>
          <w:p w14:paraId="1BD94B87" w14:textId="77777777" w:rsidR="00021FC2" w:rsidRPr="00021FC2" w:rsidRDefault="00021FC2" w:rsidP="00830796">
            <w:pPr>
              <w:rPr>
                <w:rFonts w:asciiTheme="minorHAnsi" w:hAnsiTheme="minorHAnsi" w:cstheme="minorHAnsi"/>
                <w:sz w:val="22"/>
                <w:szCs w:val="22"/>
              </w:rPr>
            </w:pPr>
            <w:r w:rsidRPr="00021FC2">
              <w:rPr>
                <w:rFonts w:asciiTheme="minorHAnsi" w:hAnsiTheme="minorHAnsi" w:cstheme="minorHAnsi"/>
                <w:sz w:val="22"/>
                <w:szCs w:val="22"/>
              </w:rPr>
              <w:t>Income, Earnings</w:t>
            </w:r>
          </w:p>
        </w:tc>
      </w:tr>
      <w:tr w:rsidR="00700062" w:rsidRPr="00F62544" w14:paraId="50A45B8E" w14:textId="77777777" w:rsidTr="00830796">
        <w:trPr>
          <w:trHeight w:val="250"/>
        </w:trPr>
        <w:tc>
          <w:tcPr>
            <w:tcW w:w="1435" w:type="dxa"/>
          </w:tcPr>
          <w:p w14:paraId="247422ED" w14:textId="634FE37F" w:rsidR="00700062" w:rsidRPr="00021FC2" w:rsidRDefault="00700062" w:rsidP="00830796">
            <w:pPr>
              <w:rPr>
                <w:rFonts w:asciiTheme="minorHAnsi" w:hAnsiTheme="minorHAnsi" w:cstheme="minorHAnsi"/>
                <w:sz w:val="22"/>
                <w:szCs w:val="22"/>
              </w:rPr>
            </w:pPr>
            <w:r>
              <w:rPr>
                <w:rFonts w:asciiTheme="minorHAnsi" w:hAnsiTheme="minorHAnsi" w:cstheme="minorHAnsi"/>
                <w:sz w:val="22"/>
                <w:szCs w:val="22"/>
              </w:rPr>
              <w:t>9999</w:t>
            </w:r>
          </w:p>
        </w:tc>
        <w:tc>
          <w:tcPr>
            <w:tcW w:w="2206" w:type="dxa"/>
          </w:tcPr>
          <w:p w14:paraId="166CAAC1" w14:textId="473F96C7" w:rsidR="00700062" w:rsidRPr="00021FC2" w:rsidRDefault="00700062" w:rsidP="00830796">
            <w:pPr>
              <w:rPr>
                <w:rFonts w:asciiTheme="minorHAnsi" w:hAnsiTheme="minorHAnsi" w:cstheme="minorHAnsi"/>
                <w:sz w:val="22"/>
                <w:szCs w:val="22"/>
              </w:rPr>
            </w:pPr>
            <w:r w:rsidRPr="00700062">
              <w:rPr>
                <w:rFonts w:asciiTheme="minorHAnsi" w:hAnsiTheme="minorHAnsi" w:cstheme="minorHAnsi"/>
                <w:sz w:val="22"/>
                <w:szCs w:val="22"/>
              </w:rPr>
              <w:t>10,000</w:t>
            </w:r>
            <w:r>
              <w:rPr>
                <w:rFonts w:asciiTheme="minorHAnsi" w:hAnsiTheme="minorHAnsi" w:cstheme="minorHAnsi"/>
                <w:sz w:val="22"/>
                <w:szCs w:val="22"/>
              </w:rPr>
              <w:t xml:space="preserve"> or less</w:t>
            </w:r>
          </w:p>
        </w:tc>
        <w:tc>
          <w:tcPr>
            <w:tcW w:w="2009" w:type="dxa"/>
          </w:tcPr>
          <w:p w14:paraId="61DF5A9E" w14:textId="37E3EC03" w:rsidR="00700062" w:rsidRPr="00021FC2" w:rsidRDefault="00700062" w:rsidP="00830796">
            <w:pPr>
              <w:rPr>
                <w:rFonts w:asciiTheme="minorHAnsi" w:hAnsiTheme="minorHAnsi" w:cstheme="minorHAnsi"/>
                <w:sz w:val="22"/>
                <w:szCs w:val="22"/>
              </w:rPr>
            </w:pPr>
            <w:r>
              <w:rPr>
                <w:rFonts w:asciiTheme="minorHAnsi" w:hAnsiTheme="minorHAnsi" w:cstheme="minorHAnsi"/>
                <w:sz w:val="22"/>
                <w:szCs w:val="22"/>
              </w:rPr>
              <w:t>Value</w:t>
            </w:r>
          </w:p>
        </w:tc>
      </w:tr>
      <w:tr w:rsidR="00021FC2" w:rsidRPr="00F62544" w14:paraId="51481D9D" w14:textId="77777777" w:rsidTr="00830796">
        <w:trPr>
          <w:trHeight w:val="235"/>
        </w:trPr>
        <w:tc>
          <w:tcPr>
            <w:tcW w:w="1435" w:type="dxa"/>
            <w:hideMark/>
          </w:tcPr>
          <w:p w14:paraId="1CF2449D" w14:textId="77777777" w:rsidR="00021FC2" w:rsidRPr="00021FC2" w:rsidRDefault="00021FC2" w:rsidP="00830796">
            <w:pPr>
              <w:rPr>
                <w:rFonts w:asciiTheme="minorHAnsi" w:hAnsiTheme="minorHAnsi" w:cstheme="minorHAnsi"/>
                <w:sz w:val="22"/>
                <w:szCs w:val="22"/>
              </w:rPr>
            </w:pPr>
            <w:r w:rsidRPr="00021FC2">
              <w:rPr>
                <w:rFonts w:asciiTheme="minorHAnsi" w:hAnsiTheme="minorHAnsi" w:cstheme="minorHAnsi"/>
                <w:sz w:val="22"/>
                <w:szCs w:val="22"/>
              </w:rPr>
              <w:t>250001</w:t>
            </w:r>
          </w:p>
        </w:tc>
        <w:tc>
          <w:tcPr>
            <w:tcW w:w="2206" w:type="dxa"/>
            <w:hideMark/>
          </w:tcPr>
          <w:p w14:paraId="153F0119" w14:textId="77777777" w:rsidR="00021FC2" w:rsidRPr="00021FC2" w:rsidRDefault="00021FC2" w:rsidP="00830796">
            <w:pPr>
              <w:rPr>
                <w:rFonts w:asciiTheme="minorHAnsi" w:hAnsiTheme="minorHAnsi" w:cstheme="minorHAnsi"/>
                <w:sz w:val="22"/>
                <w:szCs w:val="22"/>
              </w:rPr>
            </w:pPr>
            <w:r w:rsidRPr="00021FC2">
              <w:rPr>
                <w:rFonts w:asciiTheme="minorHAnsi" w:hAnsiTheme="minorHAnsi" w:cstheme="minorHAnsi"/>
                <w:sz w:val="22"/>
                <w:szCs w:val="22"/>
              </w:rPr>
              <w:t>250,000 or more</w:t>
            </w:r>
          </w:p>
        </w:tc>
        <w:tc>
          <w:tcPr>
            <w:tcW w:w="2009" w:type="dxa"/>
            <w:hideMark/>
          </w:tcPr>
          <w:p w14:paraId="2D19C931" w14:textId="77777777" w:rsidR="00021FC2" w:rsidRPr="00021FC2" w:rsidRDefault="00021FC2" w:rsidP="00830796">
            <w:pPr>
              <w:rPr>
                <w:rFonts w:asciiTheme="minorHAnsi" w:hAnsiTheme="minorHAnsi" w:cstheme="minorHAnsi"/>
                <w:sz w:val="22"/>
                <w:szCs w:val="22"/>
              </w:rPr>
            </w:pPr>
            <w:r w:rsidRPr="00021FC2">
              <w:rPr>
                <w:rFonts w:asciiTheme="minorHAnsi" w:hAnsiTheme="minorHAnsi" w:cstheme="minorHAnsi"/>
                <w:sz w:val="22"/>
                <w:szCs w:val="22"/>
              </w:rPr>
              <w:t>Income, Earnings</w:t>
            </w:r>
          </w:p>
        </w:tc>
      </w:tr>
      <w:tr w:rsidR="00F15E88" w:rsidRPr="00F62544" w14:paraId="40E556CF" w14:textId="77777777" w:rsidTr="00830796">
        <w:trPr>
          <w:trHeight w:val="235"/>
        </w:trPr>
        <w:tc>
          <w:tcPr>
            <w:tcW w:w="1435" w:type="dxa"/>
          </w:tcPr>
          <w:p w14:paraId="56DD9240" w14:textId="4852EBCA" w:rsidR="00F15E88" w:rsidRPr="00021FC2" w:rsidRDefault="00700062" w:rsidP="00830796">
            <w:pPr>
              <w:rPr>
                <w:rFonts w:asciiTheme="minorHAnsi" w:hAnsiTheme="minorHAnsi" w:cstheme="minorHAnsi"/>
                <w:sz w:val="22"/>
                <w:szCs w:val="22"/>
              </w:rPr>
            </w:pPr>
            <w:r>
              <w:rPr>
                <w:rFonts w:asciiTheme="minorHAnsi" w:hAnsiTheme="minorHAnsi" w:cstheme="minorHAnsi"/>
                <w:sz w:val="22"/>
                <w:szCs w:val="22"/>
              </w:rPr>
              <w:t>2000001</w:t>
            </w:r>
          </w:p>
        </w:tc>
        <w:tc>
          <w:tcPr>
            <w:tcW w:w="2206" w:type="dxa"/>
          </w:tcPr>
          <w:p w14:paraId="0D407F4A" w14:textId="1C5828A3" w:rsidR="00F15E88" w:rsidRPr="00021FC2" w:rsidRDefault="00700062" w:rsidP="00830796">
            <w:pPr>
              <w:rPr>
                <w:rFonts w:asciiTheme="minorHAnsi" w:hAnsiTheme="minorHAnsi" w:cstheme="minorHAnsi"/>
                <w:sz w:val="22"/>
                <w:szCs w:val="22"/>
              </w:rPr>
            </w:pPr>
            <w:r w:rsidRPr="00700062">
              <w:rPr>
                <w:rFonts w:asciiTheme="minorHAnsi" w:hAnsiTheme="minorHAnsi" w:cstheme="minorHAnsi"/>
                <w:sz w:val="22"/>
                <w:szCs w:val="22"/>
              </w:rPr>
              <w:t>2,000,000+</w:t>
            </w:r>
          </w:p>
        </w:tc>
        <w:tc>
          <w:tcPr>
            <w:tcW w:w="2009" w:type="dxa"/>
          </w:tcPr>
          <w:p w14:paraId="7E5FEBC8" w14:textId="63A8C7DE" w:rsidR="00F15E88" w:rsidRPr="00021FC2" w:rsidRDefault="00700062" w:rsidP="00830796">
            <w:pPr>
              <w:rPr>
                <w:rFonts w:asciiTheme="minorHAnsi" w:hAnsiTheme="minorHAnsi" w:cstheme="minorHAnsi"/>
                <w:sz w:val="22"/>
                <w:szCs w:val="22"/>
              </w:rPr>
            </w:pPr>
            <w:r>
              <w:rPr>
                <w:rFonts w:asciiTheme="minorHAnsi" w:hAnsiTheme="minorHAnsi" w:cstheme="minorHAnsi"/>
                <w:sz w:val="22"/>
                <w:szCs w:val="22"/>
              </w:rPr>
              <w:t>Value</w:t>
            </w:r>
          </w:p>
        </w:tc>
      </w:tr>
    </w:tbl>
    <w:p w14:paraId="56A4EE72" w14:textId="77777777" w:rsidR="00021FC2" w:rsidRDefault="00021FC2" w:rsidP="00021FC2">
      <w:pPr>
        <w:rPr>
          <w:rFonts w:ascii="Times" w:hAnsi="Times"/>
          <w:sz w:val="20"/>
          <w:szCs w:val="20"/>
        </w:rPr>
      </w:pPr>
    </w:p>
    <w:p w14:paraId="105C6029" w14:textId="77777777" w:rsidR="00021FC2" w:rsidRDefault="00021FC2" w:rsidP="00021FC2">
      <w:pPr>
        <w:rPr>
          <w:rFonts w:ascii="Times" w:hAnsi="Times"/>
          <w:sz w:val="20"/>
          <w:szCs w:val="20"/>
        </w:rPr>
      </w:pPr>
    </w:p>
    <w:p w14:paraId="42E1C914" w14:textId="77777777" w:rsidR="00021FC2" w:rsidRPr="00F15E88" w:rsidRDefault="00021FC2" w:rsidP="00021FC2">
      <w:pPr>
        <w:pStyle w:val="Heading1"/>
        <w:rPr>
          <w:rFonts w:ascii="Cambria" w:hAnsi="Cambria"/>
          <w:sz w:val="28"/>
          <w:szCs w:val="28"/>
        </w:rPr>
      </w:pPr>
      <w:r w:rsidRPr="00F15E88">
        <w:rPr>
          <w:rFonts w:ascii="Cambria" w:hAnsi="Cambria"/>
          <w:sz w:val="28"/>
          <w:szCs w:val="28"/>
        </w:rPr>
        <w:t>Additional Help and Resources</w:t>
      </w:r>
    </w:p>
    <w:p w14:paraId="35B22164" w14:textId="77777777" w:rsidR="00F15E88" w:rsidRPr="00F15E88" w:rsidRDefault="00F15E88" w:rsidP="00F15E88">
      <w:pPr>
        <w:rPr>
          <w:rFonts w:asciiTheme="minorHAnsi" w:hAnsiTheme="minorHAnsi" w:cstheme="minorHAnsi"/>
          <w:sz w:val="22"/>
          <w:szCs w:val="22"/>
        </w:rPr>
      </w:pPr>
    </w:p>
    <w:p w14:paraId="6E1659BB" w14:textId="209F4A53" w:rsidR="00021FC2" w:rsidRPr="00CC1831" w:rsidRDefault="00F15E88" w:rsidP="00F15E88">
      <w:pPr>
        <w:rPr>
          <w:rFonts w:asciiTheme="minorHAnsi" w:hAnsiTheme="minorHAnsi" w:cstheme="minorHAnsi"/>
          <w:sz w:val="22"/>
          <w:szCs w:val="22"/>
        </w:rPr>
      </w:pPr>
      <w:r w:rsidRPr="00F15E88">
        <w:rPr>
          <w:rFonts w:asciiTheme="minorHAnsi" w:hAnsiTheme="minorHAnsi" w:cstheme="minorHAnsi"/>
          <w:sz w:val="22"/>
          <w:szCs w:val="22"/>
        </w:rPr>
        <w:t xml:space="preserve">We love data questions. Email us at </w:t>
      </w:r>
      <w:hyperlink r:id="rId9" w:history="1">
        <w:r w:rsidRPr="00F15E88">
          <w:rPr>
            <w:rStyle w:val="Hyperlink"/>
            <w:rFonts w:asciiTheme="minorHAnsi" w:eastAsiaTheme="majorEastAsia" w:hAnsiTheme="minorHAnsi" w:cstheme="minorHAnsi"/>
            <w:color w:val="0F00FF"/>
            <w:sz w:val="22"/>
            <w:szCs w:val="22"/>
          </w:rPr>
          <w:t>help@cubitplanning.com</w:t>
        </w:r>
      </w:hyperlink>
      <w:r w:rsidRPr="00F15E88">
        <w:rPr>
          <w:rFonts w:asciiTheme="minorHAnsi" w:hAnsiTheme="minorHAnsi" w:cstheme="minorHAnsi"/>
          <w:sz w:val="22"/>
          <w:szCs w:val="22"/>
        </w:rPr>
        <w:t xml:space="preserve"> or call us at 1.800.939.2130. </w:t>
      </w:r>
    </w:p>
    <w:sectPr w:rsidR="00021FC2" w:rsidRPr="00CC1831" w:rsidSect="001F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Sylfaen"/>
    <w:panose1 w:val="00000500000000020000"/>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909B1"/>
    <w:multiLevelType w:val="hybridMultilevel"/>
    <w:tmpl w:val="019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19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24"/>
    <w:rsid w:val="00021FC2"/>
    <w:rsid w:val="003F5BC2"/>
    <w:rsid w:val="00443709"/>
    <w:rsid w:val="00543A18"/>
    <w:rsid w:val="00580621"/>
    <w:rsid w:val="00700062"/>
    <w:rsid w:val="0072017A"/>
    <w:rsid w:val="009033A3"/>
    <w:rsid w:val="00AE3124"/>
    <w:rsid w:val="00B5592D"/>
    <w:rsid w:val="00BF3325"/>
    <w:rsid w:val="00CC1831"/>
    <w:rsid w:val="00DE133B"/>
    <w:rsid w:val="00F15E88"/>
    <w:rsid w:val="00F3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92C3"/>
  <w15:chartTrackingRefBased/>
  <w15:docId w15:val="{C8FFDA29-4520-4FD1-8C7A-845B6884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5724"/>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F35724"/>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7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F3572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35724"/>
    <w:rPr>
      <w:color w:val="0563C1" w:themeColor="hyperlink"/>
      <w:u w:val="single"/>
    </w:rPr>
  </w:style>
  <w:style w:type="paragraph" w:styleId="ListParagraph">
    <w:name w:val="List Paragraph"/>
    <w:basedOn w:val="Normal"/>
    <w:uiPriority w:val="34"/>
    <w:qFormat/>
    <w:rsid w:val="00F35724"/>
    <w:pPr>
      <w:spacing w:after="200" w:line="276" w:lineRule="auto"/>
      <w:ind w:left="720"/>
      <w:contextualSpacing/>
    </w:pPr>
    <w:rPr>
      <w:rFonts w:asciiTheme="minorHAnsi" w:eastAsiaTheme="minorHAnsi" w:hAnsiTheme="minorHAnsi" w:cstheme="minorBidi"/>
      <w:sz w:val="22"/>
      <w:szCs w:val="22"/>
    </w:rPr>
  </w:style>
  <w:style w:type="table" w:styleId="TableGridLight">
    <w:name w:val="Grid Table Light"/>
    <w:basedOn w:val="TableNormal"/>
    <w:uiPriority w:val="40"/>
    <w:rsid w:val="00F357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B5592D"/>
  </w:style>
  <w:style w:type="paragraph" w:styleId="NormalWeb">
    <w:name w:val="Normal (Web)"/>
    <w:basedOn w:val="Normal"/>
    <w:uiPriority w:val="99"/>
    <w:semiHidden/>
    <w:unhideWhenUsed/>
    <w:rsid w:val="00CC1831"/>
    <w:pPr>
      <w:spacing w:before="100" w:beforeAutospacing="1" w:after="100" w:afterAutospacing="1"/>
    </w:pPr>
  </w:style>
  <w:style w:type="character" w:styleId="FollowedHyperlink">
    <w:name w:val="FollowedHyperlink"/>
    <w:basedOn w:val="DefaultParagraphFont"/>
    <w:uiPriority w:val="99"/>
    <w:semiHidden/>
    <w:unhideWhenUsed/>
    <w:rsid w:val="00CC1831"/>
    <w:rPr>
      <w:color w:val="954F72" w:themeColor="followedHyperlink"/>
      <w:u w:val="single"/>
    </w:rPr>
  </w:style>
  <w:style w:type="table" w:customStyle="1" w:styleId="TableGridLight1">
    <w:name w:val="Table Grid Light1"/>
    <w:basedOn w:val="TableNormal"/>
    <w:uiPriority w:val="40"/>
    <w:rsid w:val="00021F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4227">
      <w:bodyDiv w:val="1"/>
      <w:marLeft w:val="0"/>
      <w:marRight w:val="0"/>
      <w:marTop w:val="0"/>
      <w:marBottom w:val="0"/>
      <w:divBdr>
        <w:top w:val="none" w:sz="0" w:space="0" w:color="auto"/>
        <w:left w:val="none" w:sz="0" w:space="0" w:color="auto"/>
        <w:bottom w:val="none" w:sz="0" w:space="0" w:color="auto"/>
        <w:right w:val="none" w:sz="0" w:space="0" w:color="auto"/>
      </w:divBdr>
    </w:div>
    <w:div w:id="510994796">
      <w:bodyDiv w:val="1"/>
      <w:marLeft w:val="0"/>
      <w:marRight w:val="0"/>
      <w:marTop w:val="0"/>
      <w:marBottom w:val="0"/>
      <w:divBdr>
        <w:top w:val="none" w:sz="0" w:space="0" w:color="auto"/>
        <w:left w:val="none" w:sz="0" w:space="0" w:color="auto"/>
        <w:bottom w:val="none" w:sz="0" w:space="0" w:color="auto"/>
        <w:right w:val="none" w:sz="0" w:space="0" w:color="auto"/>
      </w:divBdr>
    </w:div>
    <w:div w:id="675958306">
      <w:bodyDiv w:val="1"/>
      <w:marLeft w:val="0"/>
      <w:marRight w:val="0"/>
      <w:marTop w:val="0"/>
      <w:marBottom w:val="0"/>
      <w:divBdr>
        <w:top w:val="none" w:sz="0" w:space="0" w:color="auto"/>
        <w:left w:val="none" w:sz="0" w:space="0" w:color="auto"/>
        <w:bottom w:val="none" w:sz="0" w:space="0" w:color="auto"/>
        <w:right w:val="none" w:sz="0" w:space="0" w:color="auto"/>
      </w:divBdr>
    </w:div>
    <w:div w:id="853225418">
      <w:bodyDiv w:val="1"/>
      <w:marLeft w:val="0"/>
      <w:marRight w:val="0"/>
      <w:marTop w:val="0"/>
      <w:marBottom w:val="0"/>
      <w:divBdr>
        <w:top w:val="none" w:sz="0" w:space="0" w:color="auto"/>
        <w:left w:val="none" w:sz="0" w:space="0" w:color="auto"/>
        <w:bottom w:val="none" w:sz="0" w:space="0" w:color="auto"/>
        <w:right w:val="none" w:sz="0" w:space="0" w:color="auto"/>
      </w:divBdr>
    </w:div>
    <w:div w:id="1706325586">
      <w:bodyDiv w:val="1"/>
      <w:marLeft w:val="0"/>
      <w:marRight w:val="0"/>
      <w:marTop w:val="0"/>
      <w:marBottom w:val="0"/>
      <w:divBdr>
        <w:top w:val="none" w:sz="0" w:space="0" w:color="auto"/>
        <w:left w:val="none" w:sz="0" w:space="0" w:color="auto"/>
        <w:bottom w:val="none" w:sz="0" w:space="0" w:color="auto"/>
        <w:right w:val="none" w:sz="0" w:space="0" w:color="auto"/>
      </w:divBdr>
    </w:div>
    <w:div w:id="2095082558">
      <w:bodyDiv w:val="1"/>
      <w:marLeft w:val="0"/>
      <w:marRight w:val="0"/>
      <w:marTop w:val="0"/>
      <w:marBottom w:val="0"/>
      <w:divBdr>
        <w:top w:val="none" w:sz="0" w:space="0" w:color="auto"/>
        <w:left w:val="none" w:sz="0" w:space="0" w:color="auto"/>
        <w:bottom w:val="none" w:sz="0" w:space="0" w:color="auto"/>
        <w:right w:val="none" w:sz="0" w:space="0" w:color="auto"/>
      </w:divBdr>
      <w:divsChild>
        <w:div w:id="468058525">
          <w:marLeft w:val="0"/>
          <w:marRight w:val="0"/>
          <w:marTop w:val="0"/>
          <w:marBottom w:val="0"/>
          <w:divBdr>
            <w:top w:val="none" w:sz="0" w:space="0" w:color="auto"/>
            <w:left w:val="none" w:sz="0" w:space="0" w:color="auto"/>
            <w:bottom w:val="none" w:sz="0" w:space="0" w:color="auto"/>
            <w:right w:val="none" w:sz="0" w:space="0" w:color="auto"/>
          </w:divBdr>
        </w:div>
        <w:div w:id="1894197760">
          <w:marLeft w:val="0"/>
          <w:marRight w:val="0"/>
          <w:marTop w:val="0"/>
          <w:marBottom w:val="0"/>
          <w:divBdr>
            <w:top w:val="none" w:sz="0" w:space="0" w:color="auto"/>
            <w:left w:val="none" w:sz="0" w:space="0" w:color="auto"/>
            <w:bottom w:val="none" w:sz="0" w:space="0" w:color="auto"/>
            <w:right w:val="none" w:sz="0" w:space="0" w:color="auto"/>
          </w:divBdr>
        </w:div>
        <w:div w:id="1336568311">
          <w:marLeft w:val="0"/>
          <w:marRight w:val="0"/>
          <w:marTop w:val="0"/>
          <w:marBottom w:val="0"/>
          <w:divBdr>
            <w:top w:val="none" w:sz="0" w:space="0" w:color="auto"/>
            <w:left w:val="none" w:sz="0" w:space="0" w:color="auto"/>
            <w:bottom w:val="none" w:sz="0" w:space="0" w:color="auto"/>
            <w:right w:val="none" w:sz="0" w:space="0" w:color="auto"/>
          </w:divBdr>
        </w:div>
        <w:div w:id="1337996356">
          <w:marLeft w:val="0"/>
          <w:marRight w:val="0"/>
          <w:marTop w:val="0"/>
          <w:marBottom w:val="0"/>
          <w:divBdr>
            <w:top w:val="none" w:sz="0" w:space="0" w:color="auto"/>
            <w:left w:val="none" w:sz="0" w:space="0" w:color="auto"/>
            <w:bottom w:val="none" w:sz="0" w:space="0" w:color="auto"/>
            <w:right w:val="none" w:sz="0" w:space="0" w:color="auto"/>
          </w:divBdr>
        </w:div>
        <w:div w:id="609748362">
          <w:marLeft w:val="0"/>
          <w:marRight w:val="0"/>
          <w:marTop w:val="0"/>
          <w:marBottom w:val="0"/>
          <w:divBdr>
            <w:top w:val="none" w:sz="0" w:space="0" w:color="auto"/>
            <w:left w:val="none" w:sz="0" w:space="0" w:color="auto"/>
            <w:bottom w:val="none" w:sz="0" w:space="0" w:color="auto"/>
            <w:right w:val="none" w:sz="0" w:space="0" w:color="auto"/>
          </w:divBdr>
        </w:div>
        <w:div w:id="2111924900">
          <w:marLeft w:val="0"/>
          <w:marRight w:val="0"/>
          <w:marTop w:val="0"/>
          <w:marBottom w:val="0"/>
          <w:divBdr>
            <w:top w:val="none" w:sz="0" w:space="0" w:color="auto"/>
            <w:left w:val="none" w:sz="0" w:space="0" w:color="auto"/>
            <w:bottom w:val="none" w:sz="0" w:space="0" w:color="auto"/>
            <w:right w:val="none" w:sz="0" w:space="0" w:color="auto"/>
          </w:divBdr>
        </w:div>
        <w:div w:id="1180702948">
          <w:marLeft w:val="0"/>
          <w:marRight w:val="0"/>
          <w:marTop w:val="0"/>
          <w:marBottom w:val="0"/>
          <w:divBdr>
            <w:top w:val="none" w:sz="0" w:space="0" w:color="auto"/>
            <w:left w:val="none" w:sz="0" w:space="0" w:color="auto"/>
            <w:bottom w:val="none" w:sz="0" w:space="0" w:color="auto"/>
            <w:right w:val="none" w:sz="0" w:space="0" w:color="auto"/>
          </w:divBdr>
        </w:div>
      </w:divsChild>
    </w:div>
    <w:div w:id="20995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acs/technical-documentation.html" TargetMode="External"/><Relationship Id="rId3" Type="http://schemas.openxmlformats.org/officeDocument/2006/relationships/settings" Target="settings.xml"/><Relationship Id="rId7" Type="http://schemas.openxmlformats.org/officeDocument/2006/relationships/hyperlink" Target="https://www.census.gov/acs/www/methodology/sample_size_and_data_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programs-surveys/acs/technical-documentation/code-lists.html" TargetMode="External"/><Relationship Id="rId11" Type="http://schemas.openxmlformats.org/officeDocument/2006/relationships/theme" Target="theme/theme1.xml"/><Relationship Id="rId5" Type="http://schemas.openxmlformats.org/officeDocument/2006/relationships/hyperlink" Target="https://www.census.gov/programs-surveys/ac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cubitpla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r cayme</cp:lastModifiedBy>
  <cp:revision>9</cp:revision>
  <dcterms:created xsi:type="dcterms:W3CDTF">2022-03-22T15:49:00Z</dcterms:created>
  <dcterms:modified xsi:type="dcterms:W3CDTF">2024-04-22T16:30:00Z</dcterms:modified>
</cp:coreProperties>
</file>